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Nr postępowania: ZO/09/2026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ZAŁĄCZNIK NR 1 – OPIS PRZEDMIOTU ZAMÓWIENIA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Podnośnik platformowy z funkcją schodów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I. Informacje ogólne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Przedmiotem zamówienia jest dostawa, montaż i uruchomienie fabrycznie nowego podnośnika platformowego z funkcją schodów, przeznaczonego do likwidacji bariery architektonicznej w Domu Kultury „Krzemień” w Szczecinie. Opis został opracowany na podstawie oferty technicznej urządzenia przedstawionej Zamawiającemu; wskazane parametry stanowią wymagania minimalne.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II. Minimalne parametry techniczne</w:t>
      </w:r>
    </w:p>
    <w:tbl>
      <w:tblPr>
        <w:tblStyle w:val="Table1"/>
        <w:tblW w:w="9747.0" w:type="dxa"/>
        <w:jc w:val="center"/>
        <w:tblLayout w:type="fixed"/>
        <w:tblLook w:val="0400"/>
      </w:tblPr>
      <w:tblGrid>
        <w:gridCol w:w="3249"/>
        <w:gridCol w:w="3249"/>
        <w:gridCol w:w="3249"/>
        <w:tblGridChange w:id="0">
          <w:tblGrid>
            <w:gridCol w:w="3249"/>
            <w:gridCol w:w="3249"/>
            <w:gridCol w:w="32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07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Parametr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08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Minimalne wymaganie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09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Potwierdzenie Wykonawcy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 urządzenia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Podnośnik platformowy z funkcją schodów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.432617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Napęd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Siłownik elektryczny; silnik/układ napędowy przystosowany do zasilania 240 V lub 400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Udźwig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min. 250 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Wysokość podnoszenia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min. 478 mm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Przystanki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2, przelot 180°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Zasilanie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240 V lub 400 V – zgodnie z wymaganiami technicznymi urządzenia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Platforma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ok. 1000 × 1215 mm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Schody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stopnie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Rampa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Automatyczna rampa najazdowa po stronie dolnego przystanku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Kaseta wezwań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Bezprzewodowa, dwukanałowa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Sterowanie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Mikroprocesorowe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Zasilanie awaryjne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Bateria/akumulator z zabezpieczeniem przed nadmiernym rozładowaniem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Bezpieczeństwo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Czujnik przeciążenia, czujniki zgniotu pod stopniami, sygnalizacja dźwiękowa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Zakres temperatury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min. -20°C do +40°C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Montaż / posadzka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Urządzenie wpuszczone w posadzkę; po opuszczeniu platforma musi być zlicowana z poziomem podłogi, bez uskoku/progu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Miejsce instalacji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Posadzka; orientacyjna powierzchnia 1300 × 1500 mm; wymagane wykonanie zagłębienia/otworu w posadzce zgodnie z dokumentacją techniczną urządzenia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Style w:val="Heading1"/>
        <w:rPr/>
      </w:pPr>
      <w:r w:rsidDel="00000000" w:rsidR="00000000" w:rsidRPr="00000000">
        <w:rPr>
          <w:rtl w:val="0"/>
        </w:rPr>
        <w:t xml:space="preserve">III. Zakres dostawy i montażu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dostawa kompletnego urządzenia;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transport i wniesienie w zakresie niezbędnym do montażu;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montaż konstrukcji i urządzenia;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podłączenie zasilania w zakresie określonym w uzgodnieniach technicznych;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uruchomienie, regulacja i próby funkcjonalne;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przygotowanie urządzenia i dokumentacji do odbioru UDT;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udział Wykonawcy w badaniu odbiorczym UDT;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instruktaż pracowników Zamawiającego;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przekazanie dokumentacji technicznej, instrukcji i deklaracji zgodności.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IIIa. Wymagania dotyczące sposobu montażu i zlicowania z posadzką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Podnośnik musi być wykonany i zamontowany w sposób umożliwiający uzyskanie położenia platformy zlicowanego z istniejącą podłogą na poziomie dolnego przystanku. Po opuszczeniu platformy jej powierzchnia ma znajdować się na tym samym poziomie co posadzka, bez progu, uskoku lub różnicy wysokości utrudniającej wjazd i zjazd osoby korzystającej z wózka. Urządzenie należy wpuścić w posadzkę / wykonać niezbędne zagłębienie zgodnie z dokumentacją techniczną producenta i wymaganiami bezpieczeństwa.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Wykonawca jest zobowiązany uwzględnić w cenie wszystkie prace, materiały i czynności niezbędne do wykonania takiego montażu, w tym przygotowanie miejsca instalacji w zakresie określonym w OPZ i uzgodnieniach technicznych.</w:t>
      </w:r>
    </w:p>
    <w:p w:rsidR="00000000" w:rsidDel="00000000" w:rsidP="00000000" w:rsidRDefault="00000000" w:rsidRPr="00000000" w14:paraId="00000047">
      <w:pPr>
        <w:pStyle w:val="Heading1"/>
        <w:rPr/>
      </w:pPr>
      <w:r w:rsidDel="00000000" w:rsidR="00000000" w:rsidRPr="00000000">
        <w:rPr>
          <w:rtl w:val="0"/>
        </w:rPr>
        <w:t xml:space="preserve">IV. Wymagania dostępności i bezpieczeństwa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Urządzenie ma umożliwiać bezpieczne przemieszczanie osoby z ograniczoną mobilnością, w tym osoby korzystającej z wózka, pomiędzy dwoma poziomami. Rozwiązanie powinno umożliwiać zachowanie funkcji schodów oraz zapewniać zabezpieczenia użytkownika podczas pracy platformy.</w:t>
      </w:r>
    </w:p>
    <w:p w:rsidR="00000000" w:rsidDel="00000000" w:rsidP="00000000" w:rsidRDefault="00000000" w:rsidRPr="00000000" w14:paraId="00000049">
      <w:pPr>
        <w:pStyle w:val="Heading1"/>
        <w:rPr/>
      </w:pPr>
      <w:r w:rsidDel="00000000" w:rsidR="00000000" w:rsidRPr="00000000">
        <w:rPr>
          <w:rtl w:val="0"/>
        </w:rPr>
        <w:t xml:space="preserve">V. UDT i dokumentacja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Wykonawca przygotuje dokumenty niezbędne do odbioru urządzenia przez UDT i będzie uczestniczył w badaniu odbiorczym. Wykonawca przekaże co najmniej: instrukcję obsługi w języku polskim, deklarację zgodności, dokumentację techniczną, dokumenty gwarancyjne oraz protokół uruchomienia.</w:t>
      </w:r>
    </w:p>
    <w:p w:rsidR="00000000" w:rsidDel="00000000" w:rsidP="00000000" w:rsidRDefault="00000000" w:rsidRPr="00000000" w14:paraId="0000004B">
      <w:pPr>
        <w:pStyle w:val="Heading1"/>
        <w:rPr/>
      </w:pPr>
      <w:r w:rsidDel="00000000" w:rsidR="00000000" w:rsidRPr="00000000">
        <w:rPr>
          <w:rtl w:val="0"/>
        </w:rPr>
        <w:t xml:space="preserve">VI. Gwarancja i serwis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Minimalny okres gwarancji wynosi 24 miesiące od dnia odbioru końcowego. Wykonawca zapewnia serwis gwarancyjny oraz usuwanie wad w terminach określonych w umowie.</w:t>
      </w:r>
    </w:p>
    <w:p w:rsidR="00000000" w:rsidDel="00000000" w:rsidP="00000000" w:rsidRDefault="00000000" w:rsidRPr="00000000" w14:paraId="0000004D">
      <w:pPr>
        <w:pStyle w:val="Heading1"/>
        <w:rPr/>
      </w:pPr>
      <w:r w:rsidDel="00000000" w:rsidR="00000000" w:rsidRPr="00000000">
        <w:rPr>
          <w:rtl w:val="0"/>
        </w:rPr>
        <w:t xml:space="preserve">VII. Równoważność</w:t>
      </w:r>
    </w:p>
    <w:p w:rsidR="00000000" w:rsidDel="00000000" w:rsidP="00000000" w:rsidRDefault="00000000" w:rsidRPr="00000000" w14:paraId="0000004E">
      <w:pPr>
        <w:widowControl w:val="1"/>
        <w:spacing w:after="200" w:before="0" w:line="276" w:lineRule="auto"/>
        <w:jc w:val="left"/>
        <w:rPr/>
      </w:pPr>
      <w:r w:rsidDel="00000000" w:rsidR="00000000" w:rsidRPr="00000000">
        <w:rPr>
          <w:rtl w:val="0"/>
        </w:rPr>
        <w:t xml:space="preserve">Dopuszcza się rozwiązania równoważne. Wykonawca oferujący rozwiązanie równoważne zobowiązany jest wykazać spełnienie wszystkich minimalnych wymagań technicznych i funkcjonalnych.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939790" cy="81915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spacing w:after="200" w:before="0" w:lineRule="auto"/>
      <w:jc w:val="right"/>
      <w:rPr/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939790" cy="81915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spacing w:after="200" w:before="0" w:lineRule="auto"/>
      <w:jc w:val="right"/>
      <w:rPr/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40" w:lineRule="auto"/>
    </w:pPr>
    <w:rPr>
      <w:rFonts w:ascii="Arial" w:cs="Arial" w:eastAsia="Arial" w:hAnsi="Arial"/>
      <w:b w:val="1"/>
      <w:bCs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Arial" w:cs="Arial" w:eastAsia="Arial" w:hAnsi="Arial"/>
      <w:b w:val="1"/>
      <w:bCs w:val="1"/>
      <w:color w:val="4f81b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40" w:lineRule="auto"/>
    </w:pPr>
    <w:rPr>
      <w:rFonts w:ascii="Arial" w:cs="Arial" w:eastAsia="Arial" w:hAnsi="Arial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before="0" w:line="240" w:lineRule="auto"/>
    </w:pPr>
    <w:rPr>
      <w:rFonts w:ascii="Arial" w:cs="Arial" w:eastAsia="Arial" w:hAnsi="Arial"/>
      <w:b w:val="1"/>
      <w:bCs w:val="1"/>
      <w:color w:val="17365d"/>
      <w:sz w:val="32"/>
      <w:szCs w:val="32"/>
    </w:rPr>
  </w:style>
  <w:style w:type="paragraph" w:styleId="Heading7">
    <w:name w:val="Heading 7"/>
    <w:basedOn w:val="normal1"/>
    <w:next w:val="normal1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1"/>
    <w:next w:val="normal1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="Calibri" w:cs="" w:eastAsia="" w:hAnsi="Calibri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 w:val="1"/>
    <w:rsid w:val="00E618BF"/>
    <w:rPr/>
  </w:style>
  <w:style w:type="character" w:styleId="FooterChar" w:customStyle="1">
    <w:name w:val="Footer Char"/>
    <w:basedOn w:val="DefaultParagraphFont"/>
    <w:uiPriority w:val="99"/>
    <w:qFormat w:val="1"/>
    <w:rsid w:val="00E618BF"/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eading1Char" w:customStyle="1">
    <w:name w:val="Heading 1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uiPriority w:val="10"/>
    <w:qFormat w:val="1"/>
    <w:rsid w:val="00FC693F"/>
    <w:rPr>
      <w:rFonts w:ascii="Calibri" w:cs="" w:eastAsia="" w:hAnsi="Calibri" w:asciiTheme="majorHAnsi" w:cstheme="majorBidi" w:eastAsiaTheme="majorEastAsia" w:hAnsiTheme="majorHAnsi"/>
      <w:color w:val="17365d" w:themeColor="text2" w:themeShade="0000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 w:val="1"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 w:val="1"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 w:val="1"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 w:val="1"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 w:val="1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character" w:styleId="IntenseQuoteChar" w:customStyle="1">
    <w:name w:val="Intense Quote Char"/>
    <w:basedOn w:val="DefaultParagraphFont"/>
    <w:link w:val="IntenseQuote"/>
    <w:uiPriority w:val="30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">
    <w:name w:val="Nagłówek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 w:val="1"/>
    <w:rsid w:val="00AA1D8D"/>
    <w:pPr>
      <w:spacing w:after="120" w:before="0"/>
    </w:pPr>
    <w:rPr/>
  </w:style>
  <w:style w:type="paragraph" w:styleId="List">
    <w:name w:val="List"/>
    <w:basedOn w:val="normal1"/>
    <w:uiPriority w:val="99"/>
    <w:unhideWhenUsed w:val="1"/>
    <w:rsid w:val="00AA1D8D"/>
    <w:pPr>
      <w:spacing w:after="200" w:before="0"/>
      <w:ind w:left="360" w:hanging="360"/>
      <w:contextualSpacing w:val="1"/>
    </w:pPr>
    <w:rPr/>
  </w:style>
  <w:style w:type="paragraph" w:styleId="Caption">
    <w:name w:val="Caption"/>
    <w:basedOn w:val="normal1"/>
    <w:next w:val="normal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Indeks">
    <w:name w:val="Indeks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bidi w:val="0"/>
      <w:spacing w:after="200" w:before="0" w:line="276" w:lineRule="auto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Gwkaistopka">
    <w:name w:val="Główka i stopka"/>
    <w:basedOn w:val="Normal"/>
    <w:qFormat w:val="1"/>
    <w:pPr/>
    <w:rPr/>
  </w:style>
  <w:style w:type="paragraph" w:styleId="Header">
    <w:name w:val="Header"/>
    <w:basedOn w:val="normal1"/>
    <w:link w:val="HeaderChar"/>
    <w:uiPriority w:val="99"/>
    <w:unhideWhenUsed w:val="1"/>
    <w:rsid w:val="00E618BF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Footer">
    <w:name w:val="Footer"/>
    <w:basedOn w:val="normal1"/>
    <w:link w:val="FooterChar"/>
    <w:uiPriority w:val="99"/>
    <w:unhideWhenUsed w:val="1"/>
    <w:rsid w:val="00E618BF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NoSpacing">
    <w:name w:val="No Spacing"/>
    <w:uiPriority w:val="1"/>
    <w:qFormat w:val="1"/>
    <w:rsid w:val="00FC693F"/>
    <w:pPr>
      <w:widowControl w:val="1"/>
      <w:bidi w:val="0"/>
      <w:spacing w:after="0" w:before="0" w:line="240" w:lineRule="auto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ListParagraph">
    <w:name w:val="List Paragraph"/>
    <w:basedOn w:val="normal1"/>
    <w:uiPriority w:val="34"/>
    <w:qFormat w:val="1"/>
    <w:rsid w:val="00FC693F"/>
    <w:pPr>
      <w:spacing w:after="200" w:before="0"/>
      <w:ind w:left="720"/>
      <w:contextualSpacing w:val="1"/>
    </w:pPr>
    <w:rPr/>
  </w:style>
  <w:style w:type="paragraph" w:styleId="BodyText2">
    <w:name w:val="Body Text 2"/>
    <w:basedOn w:val="normal1"/>
    <w:link w:val="BodyText2Char"/>
    <w:uiPriority w:val="99"/>
    <w:unhideWhenUsed w:val="1"/>
    <w:qFormat w:val="1"/>
    <w:rsid w:val="00AA1D8D"/>
    <w:pPr>
      <w:spacing w:after="120" w:before="0" w:line="480" w:lineRule="auto"/>
    </w:pPr>
    <w:rPr/>
  </w:style>
  <w:style w:type="paragraph" w:styleId="BodyText3">
    <w:name w:val="Body Text 3"/>
    <w:basedOn w:val="normal1"/>
    <w:link w:val="BodyText3Char"/>
    <w:uiPriority w:val="99"/>
    <w:unhideWhenUsed w:val="1"/>
    <w:qFormat w:val="1"/>
    <w:rsid w:val="00AA1D8D"/>
    <w:pPr>
      <w:spacing w:after="120" w:before="0"/>
    </w:pPr>
    <w:rPr>
      <w:sz w:val="16"/>
      <w:szCs w:val="16"/>
    </w:rPr>
  </w:style>
  <w:style w:type="paragraph" w:styleId="List2">
    <w:name w:val="List 2"/>
    <w:basedOn w:val="normal1"/>
    <w:uiPriority w:val="99"/>
    <w:unhideWhenUsed w:val="1"/>
    <w:qFormat w:val="1"/>
    <w:rsid w:val="00326F90"/>
    <w:pPr>
      <w:spacing w:after="200" w:before="0"/>
      <w:ind w:left="720" w:hanging="360"/>
      <w:contextualSpacing w:val="1"/>
    </w:pPr>
    <w:rPr/>
  </w:style>
  <w:style w:type="paragraph" w:styleId="List3">
    <w:name w:val="List 3"/>
    <w:basedOn w:val="normal1"/>
    <w:uiPriority w:val="99"/>
    <w:unhideWhenUsed w:val="1"/>
    <w:qFormat w:val="1"/>
    <w:rsid w:val="00326F90"/>
    <w:pPr>
      <w:spacing w:after="200" w:before="0"/>
      <w:ind w:left="1080" w:hanging="360"/>
      <w:contextualSpacing w:val="1"/>
    </w:pPr>
    <w:rPr/>
  </w:style>
  <w:style w:type="paragraph" w:styleId="ListBullet">
    <w:name w:val="List Bullet"/>
    <w:basedOn w:val="normal1"/>
    <w:uiPriority w:val="99"/>
    <w:unhideWhenUsed w:val="1"/>
    <w:rsid w:val="00326F90"/>
    <w:pPr>
      <w:numPr>
        <w:ilvl w:val="0"/>
        <w:numId w:val="1"/>
      </w:numPr>
      <w:spacing w:after="200" w:before="0"/>
      <w:contextualSpacing w:val="1"/>
    </w:pPr>
    <w:rPr/>
  </w:style>
  <w:style w:type="paragraph" w:styleId="ListBullet2">
    <w:name w:val="List Bullet 2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Bullet3">
    <w:name w:val="List Bullet 3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Number">
    <w:name w:val="List Number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Number2">
    <w:name w:val="List Number 2"/>
    <w:basedOn w:val="normal1"/>
    <w:uiPriority w:val="99"/>
    <w:unhideWhenUsed w:val="1"/>
    <w:rsid w:val="0029639D"/>
    <w:pPr>
      <w:spacing w:after="200" w:before="0"/>
      <w:contextualSpacing w:val="1"/>
    </w:pPr>
    <w:rPr/>
  </w:style>
  <w:style w:type="paragraph" w:styleId="ListNumber3">
    <w:name w:val="List Number 3"/>
    <w:basedOn w:val="normal1"/>
    <w:uiPriority w:val="99"/>
    <w:unhideWhenUsed w:val="1"/>
    <w:rsid w:val="0029639D"/>
    <w:pPr>
      <w:spacing w:after="200" w:before="0"/>
      <w:contextualSpacing w:val="1"/>
    </w:pPr>
    <w:rPr/>
  </w:style>
  <w:style w:type="paragraph" w:styleId="ListContinue">
    <w:name w:val="List Continue"/>
    <w:basedOn w:val="normal1"/>
    <w:uiPriority w:val="99"/>
    <w:unhideWhenUsed w:val="1"/>
    <w:rsid w:val="0029639D"/>
    <w:pPr>
      <w:spacing w:after="120" w:before="0"/>
      <w:ind w:left="360"/>
      <w:contextualSpacing w:val="1"/>
    </w:pPr>
    <w:rPr/>
  </w:style>
  <w:style w:type="paragraph" w:styleId="ListContinue2">
    <w:name w:val="List Continue 2"/>
    <w:basedOn w:val="normal1"/>
    <w:uiPriority w:val="99"/>
    <w:unhideWhenUsed w:val="1"/>
    <w:rsid w:val="0029639D"/>
    <w:pPr>
      <w:spacing w:after="120" w:before="0"/>
      <w:ind w:left="720"/>
      <w:contextualSpacing w:val="1"/>
    </w:pPr>
    <w:rPr/>
  </w:style>
  <w:style w:type="paragraph" w:styleId="ListContinue3">
    <w:name w:val="List Continue 3"/>
    <w:basedOn w:val="normal1"/>
    <w:uiPriority w:val="99"/>
    <w:unhideWhenUsed w:val="1"/>
    <w:rsid w:val="0029639D"/>
    <w:pPr>
      <w:spacing w:after="120" w:before="0"/>
      <w:ind w:left="1080"/>
      <w:contextualSpacing w:val="1"/>
    </w:pPr>
    <w:rPr/>
  </w:style>
  <w:style w:type="paragraph" w:styleId="macro">
    <w:name w:val="macro"/>
    <w:link w:val="MacroTextChar"/>
    <w:uiPriority w:val="99"/>
    <w:unhideWhenUsed w:val="1"/>
    <w:qFormat w:val="1"/>
    <w:rsid w:val="0029639D"/>
    <w:pPr>
      <w:widowControl w:val="1"/>
      <w:tabs>
        <w:tab w:val="clear" w:pos="720"/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bidi w:val="0"/>
      <w:spacing w:after="200" w:before="0" w:line="276" w:lineRule="auto"/>
      <w:jc w:val="left"/>
    </w:pPr>
    <w:rPr>
      <w:rFonts w:ascii="Courier" w:cs="Arial" w:eastAsia="Arial" w:hAnsi="Courier"/>
      <w:color w:val="auto"/>
      <w:kern w:val="0"/>
      <w:sz w:val="20"/>
      <w:szCs w:val="20"/>
      <w:lang w:bidi="hi-IN" w:eastAsia="zh-CN" w:val="en-US"/>
    </w:rPr>
  </w:style>
  <w:style w:type="paragraph" w:styleId="Quote">
    <w:name w:val="Quote"/>
    <w:basedOn w:val="normal1"/>
    <w:next w:val="normal1"/>
    <w:link w:val="QuoteChar"/>
    <w:uiPriority w:val="29"/>
    <w:qFormat w:val="1"/>
    <w:rsid w:val="00FC693F"/>
    <w:pPr/>
    <w:rPr>
      <w:i w:val="1"/>
      <w:iCs w:val="1"/>
      <w:color w:val="000000" w:themeColor="text1"/>
    </w:rPr>
  </w:style>
  <w:style w:type="paragraph" w:styleId="IntenseQuote">
    <w:name w:val="Intense Quote"/>
    <w:basedOn w:val="normal1"/>
    <w:next w:val="normal1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 w:val="1"/>
    <w:unhideWhenUsed w:val="1"/>
    <w:qFormat w:val="1"/>
    <w:rsid w:val="00FC693F"/>
    <w:pPr/>
    <w:rPr/>
  </w:style>
  <w:style w:type="numbering" w:styleId="Bezlisty" w:default="1">
    <w:name w:val="Bez listy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404040" w:space="0" w:sz="8" w:themeColor="text1" w:val="single"/>
          <w:left w:color="404040" w:space="0" w:sz="8" w:themeColor="text1" w:val="single"/>
          <w:bottom w:color="404040" w:space="0" w:sz="8" w:themeColor="text1" w:val="single"/>
          <w:right w:color="404040" w:space="0" w:sz="8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val="double"/>
          <w:left w:color="404040" w:space="0" w:sz="8" w:themeColor="text1" w:val="single"/>
          <w:bottom w:color="404040" w:space="0" w:sz="8" w:themeColor="text1" w:val="single"/>
          <w:right w:color="404040" w:space="0" w:sz="8" w:themeColor="text1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7ba0cd" w:space="0" w:sz="8" w:themeColor="accent1" w:val="single"/>
          <w:left w:color="7ba0cd" w:space="0" w:sz="8" w:themeColor="accent1" w:val="single"/>
          <w:bottom w:color="7ba0cd" w:space="0" w:sz="8" w:themeColor="accent1" w:val="single"/>
          <w:right w:color="7ba0cd" w:space="0" w:sz="8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val="double"/>
          <w:left w:color="7ba0cd" w:space="0" w:sz="8" w:themeColor="accent1" w:val="single"/>
          <w:bottom w:color="7ba0cd" w:space="0" w:sz="8" w:themeColor="accent1" w:val="single"/>
          <w:right w:color="7ba0cd" w:space="0" w:sz="8" w:themeColor="accent1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cf7b79" w:space="0" w:sz="8" w:themeColor="accent2" w:val="single"/>
          <w:left w:color="cf7b79" w:space="0" w:sz="8" w:themeColor="accent2" w:val="single"/>
          <w:bottom w:color="cf7b79" w:space="0" w:sz="8" w:themeColor="accent2" w:val="single"/>
          <w:right w:color="cf7b79" w:space="0" w:sz="8" w:themeColor="accent2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val="double"/>
          <w:left w:color="cf7b79" w:space="0" w:sz="8" w:themeColor="accent2" w:val="single"/>
          <w:bottom w:color="cf7b79" w:space="0" w:sz="8" w:themeColor="accent2" w:val="single"/>
          <w:right w:color="cf7b79" w:space="0" w:sz="8" w:themeColor="accent2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b3cc82" w:space="0" w:sz="8" w:themeColor="accent3" w:val="single"/>
          <w:left w:color="b3cc82" w:space="0" w:sz="8" w:themeColor="accent3" w:val="single"/>
          <w:bottom w:color="b3cc82" w:space="0" w:sz="8" w:themeColor="accent3" w:val="single"/>
          <w:right w:color="b3cc82" w:space="0" w:sz="8" w:themeColor="accent3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val="double"/>
          <w:left w:color="b3cc82" w:space="0" w:sz="8" w:themeColor="accent3" w:val="single"/>
          <w:bottom w:color="b3cc82" w:space="0" w:sz="8" w:themeColor="accent3" w:val="single"/>
          <w:right w:color="b3cc82" w:space="0" w:sz="8" w:themeColor="accent3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9f8ab9" w:space="0" w:sz="8" w:themeColor="accent4" w:val="single"/>
          <w:left w:color="9f8ab9" w:space="0" w:sz="8" w:themeColor="accent4" w:val="single"/>
          <w:bottom w:color="9f8ab9" w:space="0" w:sz="8" w:themeColor="accent4" w:val="single"/>
          <w:right w:color="9f8ab9" w:space="0" w:sz="8" w:themeColor="accent4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val="double"/>
          <w:left w:color="9f8ab9" w:space="0" w:sz="8" w:themeColor="accent4" w:val="single"/>
          <w:bottom w:color="9f8ab9" w:space="0" w:sz="8" w:themeColor="accent4" w:val="single"/>
          <w:right w:color="9f8ab9" w:space="0" w:sz="8" w:themeColor="accent4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78c0d4" w:space="0" w:sz="8" w:themeColor="accent5" w:val="single"/>
          <w:left w:color="78c0d4" w:space="0" w:sz="8" w:themeColor="accent5" w:val="single"/>
          <w:bottom w:color="78c0d4" w:space="0" w:sz="8" w:themeColor="accent5" w:val="single"/>
          <w:right w:color="78c0d4" w:space="0" w:sz="8" w:themeColor="accent5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val="double"/>
          <w:left w:color="78c0d4" w:space="0" w:sz="8" w:themeColor="accent5" w:val="single"/>
          <w:bottom w:color="78c0d4" w:space="0" w:sz="8" w:themeColor="accent5" w:val="single"/>
          <w:right w:color="78c0d4" w:space="0" w:sz="8" w:themeColor="accent5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f9b074" w:space="0" w:sz="8" w:themeColor="accent6" w:val="single"/>
          <w:left w:color="f9b074" w:space="0" w:sz="8" w:themeColor="accent6" w:val="single"/>
          <w:bottom w:color="f9b074" w:space="0" w:sz="8" w:themeColor="accent6" w:val="single"/>
          <w:right w:color="f9b074" w:space="0" w:sz="8" w:themeColor="accent6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val="double"/>
          <w:left w:color="f9b074" w:space="0" w:sz="8" w:themeColor="accent6" w:val="single"/>
          <w:bottom w:color="f9b074" w:space="0" w:sz="8" w:themeColor="accent6" w:val="single"/>
          <w:right w:color="f9b074" w:space="0" w:sz="8" w:themeColor="accent6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404040" w:space="0" w:sz="1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7ba0cd" w:space="0" w:sz="1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cf7b79" w:space="0" w:sz="1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b3cc82" w:space="0" w:sz="1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9f8ab9" w:space="0" w:sz="1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78c0d4" w:space="0" w:sz="1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f9b074" w:space="0" w:sz="1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7lsGYqjw47UK6Tw1ZVL8SfmYig==">CgMxLjA4AHIhMUFJTDNIbTZqSkNRRmk0ak5tTDFsUGxNZWN1TzA0QnBV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